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B7F95" w14:textId="2DC39E6E" w:rsidR="00F8333E" w:rsidRPr="00F8333E" w:rsidRDefault="00BB3DCF" w:rsidP="00247A92">
      <w:pPr>
        <w:pStyle w:val="OLHeading"/>
        <w:jc w:val="center"/>
      </w:pPr>
      <w:r>
        <w:t>C</w:t>
      </w:r>
      <w:r w:rsidR="00F8333E" w:rsidRPr="00F8333E">
        <w:t>79</w:t>
      </w:r>
      <w:r w:rsidR="0072610C">
        <w:t>A</w:t>
      </w:r>
      <w:r w:rsidR="00F8333E" w:rsidRPr="00F8333E">
        <w:t xml:space="preserve"> </w:t>
      </w:r>
      <w:r w:rsidR="009536E9">
        <w:t>–</w:t>
      </w:r>
      <w:r w:rsidR="00F8333E" w:rsidRPr="00F8333E">
        <w:t xml:space="preserve"> </w:t>
      </w:r>
      <w:r w:rsidR="009536E9">
        <w:t xml:space="preserve">CONTRACTOR’S </w:t>
      </w:r>
      <w:r w:rsidR="00F8333E" w:rsidRPr="00F8333E">
        <w:t>NOTICE OF DEFECTIVE WORK/MATERIAL</w:t>
      </w:r>
      <w:r w:rsidR="00502B16">
        <w:t>S</w:t>
      </w:r>
    </w:p>
    <w:p w14:paraId="479A45F4" w14:textId="77777777" w:rsidR="00F8333E" w:rsidRPr="00F8333E" w:rsidRDefault="00F8333E" w:rsidP="00247A92">
      <w:pPr>
        <w:pStyle w:val="OLBodyText"/>
        <w:jc w:val="center"/>
      </w:pPr>
      <w:r w:rsidRPr="00F8333E">
        <w:t>(Subclause 29.3)</w:t>
      </w:r>
    </w:p>
    <w:p w14:paraId="047A7EC8" w14:textId="77777777" w:rsidR="00F8333E" w:rsidRPr="00F8333E" w:rsidRDefault="00F8333E" w:rsidP="00F8333E">
      <w:pPr>
        <w:tabs>
          <w:tab w:val="left" w:pos="2552"/>
          <w:tab w:val="left" w:leader="dot" w:pos="9072"/>
        </w:tabs>
      </w:pPr>
    </w:p>
    <w:p w14:paraId="6A5E69AA" w14:textId="12E8384C" w:rsidR="00F8333E" w:rsidRPr="00F8333E" w:rsidRDefault="00F8333E" w:rsidP="00247A92">
      <w:pPr>
        <w:pStyle w:val="OLBodyText"/>
      </w:pPr>
      <w:r w:rsidRPr="00F8333E">
        <w:t>DATE:</w:t>
      </w:r>
      <w:r w:rsidRPr="00F8333E">
        <w:tab/>
      </w:r>
      <w:r w:rsidR="001D28E2">
        <w:tab/>
      </w:r>
      <w:r w:rsidR="001D28E2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388885ED" w14:textId="77777777" w:rsidR="00F8333E" w:rsidRPr="00F8333E" w:rsidRDefault="00F8333E" w:rsidP="00247A92">
      <w:pPr>
        <w:pStyle w:val="OLBodyText"/>
      </w:pPr>
      <w:r w:rsidRPr="00F8333E">
        <w:t xml:space="preserve">TO </w:t>
      </w:r>
      <w:r w:rsidR="009536E9">
        <w:t>SUPERINTENDENT</w:t>
      </w:r>
      <w:r w:rsidRPr="00F8333E">
        <w:t>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SUPERINTENDENT NAME]</w:t>
      </w:r>
      <w:r w:rsidRPr="00F8333E">
        <w:fldChar w:fldCharType="end"/>
      </w:r>
    </w:p>
    <w:p w14:paraId="0F9C19C3" w14:textId="541F837A" w:rsidR="00F8333E" w:rsidRPr="00F8333E" w:rsidRDefault="00F8333E" w:rsidP="00247A92">
      <w:pPr>
        <w:pStyle w:val="OLBodyText"/>
      </w:pPr>
      <w:r w:rsidRPr="00F8333E">
        <w:t>PROJECT NAME:</w:t>
      </w:r>
      <w:r w:rsidRPr="00F8333E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5B48FC1C" w14:textId="5F829CA9" w:rsidR="00F8333E" w:rsidRPr="00F8333E" w:rsidRDefault="00F8333E" w:rsidP="00247A92">
      <w:pPr>
        <w:pStyle w:val="OLBodyText"/>
      </w:pPr>
      <w:r w:rsidRPr="00F8333E">
        <w:t>CONTRACT No.:</w:t>
      </w:r>
      <w:r w:rsidRPr="00F8333E">
        <w:tab/>
      </w:r>
      <w:r w:rsidR="001D28E2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9FCB3E3" w14:textId="77777777" w:rsidR="00F8333E" w:rsidRPr="00F8333E" w:rsidRDefault="00F8333E" w:rsidP="00F8333E">
      <w:pPr>
        <w:pBdr>
          <w:bottom w:val="single" w:sz="12" w:space="1" w:color="auto"/>
        </w:pBdr>
        <w:tabs>
          <w:tab w:val="left" w:leader="dot" w:pos="9072"/>
        </w:tabs>
      </w:pPr>
    </w:p>
    <w:p w14:paraId="0E8DCCA8" w14:textId="77777777" w:rsidR="00F466AA" w:rsidRDefault="00F466AA" w:rsidP="00F466AA">
      <w:pPr>
        <w:tabs>
          <w:tab w:val="left" w:leader="dot" w:pos="9072"/>
        </w:tabs>
      </w:pPr>
    </w:p>
    <w:p w14:paraId="70F0FD8E" w14:textId="77777777" w:rsidR="00F466AA" w:rsidRPr="00E669DC" w:rsidRDefault="00F466AA" w:rsidP="00247A92">
      <w:pPr>
        <w:pStyle w:val="OLBodyText"/>
      </w:pPr>
      <w:r w:rsidRPr="00E669DC">
        <w:t xml:space="preserve">The </w:t>
      </w:r>
      <w:r w:rsidR="009536E9">
        <w:t>Superintendent</w:t>
      </w:r>
      <w:r w:rsidR="009536E9" w:rsidRPr="00E669DC">
        <w:t xml:space="preserve"> </w:t>
      </w:r>
      <w:r w:rsidRPr="00E669DC">
        <w:t xml:space="preserve">is notified that the </w:t>
      </w:r>
      <w:r w:rsidR="009536E9">
        <w:t>Contractor</w:t>
      </w:r>
      <w:r w:rsidR="009536E9" w:rsidRPr="00E669DC">
        <w:t xml:space="preserve"> </w:t>
      </w:r>
      <w:r w:rsidRPr="00E669DC">
        <w:t xml:space="preserve">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</w:t>
      </w:r>
      <w:r w:rsidR="00B83433">
        <w:t xml:space="preserve">does not comply with the Contract </w:t>
      </w:r>
      <w:r>
        <w:t>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357A1CFB" w14:textId="77777777" w:rsidTr="00F466AA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9369" w14:textId="77777777" w:rsidR="00E669DC" w:rsidRPr="00F8333E" w:rsidRDefault="00B83433" w:rsidP="00247A92">
            <w:pPr>
              <w:pStyle w:val="OLTableText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28B68A00" w14:textId="77777777" w:rsidR="00F466AA" w:rsidRDefault="00F466AA" w:rsidP="00F466AA">
      <w:pPr>
        <w:tabs>
          <w:tab w:val="left" w:leader="dot" w:pos="9072"/>
        </w:tabs>
        <w:ind w:left="-75"/>
      </w:pPr>
    </w:p>
    <w:p w14:paraId="24AEC810" w14:textId="5B27F41C" w:rsidR="001D28E2" w:rsidRDefault="009536E9" w:rsidP="00247A92">
      <w:pPr>
        <w:pStyle w:val="OLBodyText"/>
      </w:pPr>
      <w:r>
        <w:t xml:space="preserve">Subject to confirmation by the Superintendent, the Contractor proposes to </w:t>
      </w:r>
      <w:r w:rsidRPr="009536E9">
        <w:t xml:space="preserve">initiate </w:t>
      </w:r>
      <w:r>
        <w:t>the following</w:t>
      </w:r>
      <w:r w:rsidRPr="009536E9">
        <w:t xml:space="preserve"> non-conformance procedures</w:t>
      </w:r>
      <w:r>
        <w:t>:</w:t>
      </w:r>
      <w:r w:rsidRPr="009536E9">
        <w:t xml:space="preserve"> </w:t>
      </w:r>
    </w:p>
    <w:p w14:paraId="3FCAF99C" w14:textId="4AA9C87E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  <w:r>
        <w:fldChar w:fldCharType="begin">
          <w:ffData>
            <w:name w:val=""/>
            <w:enabled/>
            <w:calcOnExit w:val="0"/>
            <w:textInput>
              <w:default w:val="[PROVIDE FULL PARTICULARS OF THE PROPOSED NON-CONFORMANCE PROCEDURES TO BE INITIATED TO RECTIFY NON-CONFORMAN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[PROVIDE FULL PARTICULARS OF THE PROPOSED NON-CONFORMANCE PROCEDURES TO BE INITIATED TO RECTIFY NON-CONFORMANCE]</w:t>
      </w:r>
      <w:r>
        <w:fldChar w:fldCharType="end"/>
      </w:r>
    </w:p>
    <w:p w14:paraId="5E182E28" w14:textId="77777777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7DFD04F0" w14:textId="77777777" w:rsidR="001D28E2" w:rsidRDefault="001D28E2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741DA688" w14:textId="77777777" w:rsidR="00381C16" w:rsidRPr="00F8333E" w:rsidRDefault="00381C16" w:rsidP="00BB3D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leader="dot" w:pos="9072"/>
        </w:tabs>
      </w:pPr>
    </w:p>
    <w:p w14:paraId="26F0B33A" w14:textId="77777777" w:rsidR="009536E9" w:rsidRDefault="009536E9" w:rsidP="00247A92">
      <w:pPr>
        <w:pStyle w:val="OLBodyText"/>
      </w:pP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6C215DB0" w14:textId="77777777" w:rsidTr="00F466AA">
        <w:trPr>
          <w:trHeight w:val="275"/>
        </w:trPr>
        <w:tc>
          <w:tcPr>
            <w:tcW w:w="9060" w:type="dxa"/>
            <w:gridSpan w:val="2"/>
          </w:tcPr>
          <w:p w14:paraId="2F550804" w14:textId="71B8A2C7" w:rsidR="00F8333E" w:rsidRPr="00F8333E" w:rsidRDefault="00F8333E" w:rsidP="00247A92">
            <w:pPr>
              <w:pStyle w:val="OLTableText"/>
            </w:pPr>
            <w:r w:rsidRPr="00F8333E">
              <w:t>Signed by the</w:t>
            </w:r>
            <w:r w:rsidR="00BB3DCF">
              <w:t xml:space="preserve"> Contractor</w:t>
            </w:r>
            <w:r w:rsidRPr="00F8333E">
              <w:t>:</w:t>
            </w:r>
          </w:p>
        </w:tc>
      </w:tr>
      <w:tr w:rsidR="00F8333E" w:rsidRPr="00F8333E" w14:paraId="2E87624C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571419C7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392DD66A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7712963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AD2C385" w14:textId="77777777" w:rsidR="00F8333E" w:rsidRPr="00F8333E" w:rsidRDefault="00F8333E" w:rsidP="00247A92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22A38ADA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71B419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1F1AF2EA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67E5B094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43261423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2533AD2C" w14:textId="77777777" w:rsidR="00F8333E" w:rsidRPr="00F8333E" w:rsidRDefault="00F8333E" w:rsidP="00247A92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4A8749C6" w14:textId="77777777" w:rsidR="00F8333E" w:rsidRPr="00F8333E" w:rsidRDefault="00F8333E" w:rsidP="00247A92">
            <w:pPr>
              <w:pStyle w:val="OLTableText"/>
            </w:pPr>
          </w:p>
        </w:tc>
      </w:tr>
      <w:tr w:rsidR="00F8333E" w:rsidRPr="00F8333E" w14:paraId="16F782CC" w14:textId="77777777" w:rsidTr="00247A92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26DF4913" w14:textId="77777777" w:rsidR="00F8333E" w:rsidRPr="00F8333E" w:rsidRDefault="00F8333E" w:rsidP="00247A92">
            <w:pPr>
              <w:pStyle w:val="OLTableText"/>
            </w:pPr>
          </w:p>
        </w:tc>
        <w:tc>
          <w:tcPr>
            <w:tcW w:w="4323" w:type="dxa"/>
          </w:tcPr>
          <w:p w14:paraId="5F0326E2" w14:textId="77777777" w:rsidR="00F8333E" w:rsidRPr="00F8333E" w:rsidRDefault="00F8333E" w:rsidP="00247A92">
            <w:pPr>
              <w:pStyle w:val="OLTableText"/>
            </w:pPr>
          </w:p>
        </w:tc>
      </w:tr>
      <w:tr w:rsidR="00247A92" w:rsidRPr="00F8333E" w14:paraId="0499BBD0" w14:textId="77777777" w:rsidTr="00247A92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8A2862C" w14:textId="56FD83B7" w:rsidR="00247A92" w:rsidRPr="00F8333E" w:rsidRDefault="00247A92" w:rsidP="00247A92">
            <w:pPr>
              <w:pStyle w:val="OLBodyText"/>
            </w:pPr>
            <w:r w:rsidRPr="00F8333E">
              <w:t>Date</w:t>
            </w:r>
          </w:p>
        </w:tc>
        <w:tc>
          <w:tcPr>
            <w:tcW w:w="4323" w:type="dxa"/>
          </w:tcPr>
          <w:p w14:paraId="0E022D8A" w14:textId="77777777" w:rsidR="00247A92" w:rsidRPr="00F8333E" w:rsidRDefault="00247A92">
            <w:pPr>
              <w:pStyle w:val="OLTableText"/>
            </w:pPr>
          </w:p>
        </w:tc>
      </w:tr>
    </w:tbl>
    <w:p w14:paraId="306185A8" w14:textId="56B2D6E0" w:rsidR="00F8333E" w:rsidRDefault="00F8333E" w:rsidP="001D28E2">
      <w:pPr>
        <w:pStyle w:val="OLBodyText"/>
      </w:pPr>
    </w:p>
    <w:p w14:paraId="6AABC844" w14:textId="77777777" w:rsidR="001D28E2" w:rsidRDefault="001D28E2" w:rsidP="00247A92">
      <w:pPr>
        <w:pStyle w:val="OLBodyText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B2617D" w:rsidRPr="001D28E2" w14:paraId="2F8949F5" w14:textId="77777777" w:rsidTr="00243C98">
        <w:tc>
          <w:tcPr>
            <w:tcW w:w="9010" w:type="dxa"/>
            <w:gridSpan w:val="2"/>
          </w:tcPr>
          <w:p w14:paraId="50C4F8CA" w14:textId="01373A8C" w:rsidR="00B2617D" w:rsidRPr="00247A92" w:rsidRDefault="00247A92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B2617D" w:rsidRPr="00247A92">
              <w:rPr>
                <w:sz w:val="16"/>
                <w:szCs w:val="16"/>
              </w:rPr>
              <w:t>Notes:</w:t>
            </w:r>
          </w:p>
        </w:tc>
      </w:tr>
      <w:tr w:rsidR="00B2617D" w:rsidRPr="001D28E2" w14:paraId="5F812A67" w14:textId="77777777" w:rsidTr="00262975">
        <w:tc>
          <w:tcPr>
            <w:tcW w:w="421" w:type="dxa"/>
          </w:tcPr>
          <w:p w14:paraId="40E6F70C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77A0664A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This notice must be given promptly after discovery by the Contractor of work done that does not comply with the Contract.</w:t>
            </w:r>
          </w:p>
        </w:tc>
      </w:tr>
      <w:tr w:rsidR="00B2617D" w:rsidRPr="001D28E2" w14:paraId="7885375B" w14:textId="77777777" w:rsidTr="00262975">
        <w:tc>
          <w:tcPr>
            <w:tcW w:w="421" w:type="dxa"/>
          </w:tcPr>
          <w:p w14:paraId="7944A5A1" w14:textId="77777777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59930720" w14:textId="534999C3" w:rsidR="00B2617D" w:rsidRPr="00247A92" w:rsidRDefault="00B2617D" w:rsidP="00247A92">
            <w:pPr>
              <w:pStyle w:val="OLTableText"/>
              <w:rPr>
                <w:sz w:val="16"/>
                <w:szCs w:val="16"/>
              </w:rPr>
            </w:pPr>
            <w:r w:rsidRPr="00247A92">
              <w:rPr>
                <w:sz w:val="16"/>
                <w:szCs w:val="16"/>
              </w:rPr>
              <w:t xml:space="preserve">As to service of Form </w:t>
            </w:r>
            <w:r w:rsidR="00BB3DCF" w:rsidRPr="00247A92">
              <w:rPr>
                <w:sz w:val="16"/>
                <w:szCs w:val="16"/>
              </w:rPr>
              <w:t>C</w:t>
            </w:r>
            <w:r w:rsidRPr="00247A92">
              <w:rPr>
                <w:sz w:val="16"/>
                <w:szCs w:val="16"/>
              </w:rPr>
              <w:t>79A, refer to clause 7.</w:t>
            </w:r>
          </w:p>
        </w:tc>
      </w:tr>
    </w:tbl>
    <w:p w14:paraId="29A98B02" w14:textId="77777777" w:rsidR="00B2617D" w:rsidRDefault="00B2617D" w:rsidP="00B2617D"/>
    <w:p w14:paraId="2A7D5046" w14:textId="247D5ECE" w:rsidR="00247A92" w:rsidRPr="00247A92" w:rsidRDefault="00247A92" w:rsidP="00247A92">
      <w:pPr>
        <w:tabs>
          <w:tab w:val="left" w:pos="2707"/>
        </w:tabs>
      </w:pPr>
      <w:r>
        <w:tab/>
      </w:r>
    </w:p>
    <w:sectPr w:rsidR="00247A92" w:rsidRPr="00247A92" w:rsidSect="00E669DC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BB79F" w14:textId="77777777" w:rsidR="006F0D08" w:rsidRDefault="006F0D08">
      <w:r>
        <w:separator/>
      </w:r>
    </w:p>
  </w:endnote>
  <w:endnote w:type="continuationSeparator" w:id="0">
    <w:p w14:paraId="109CE3CB" w14:textId="77777777" w:rsidR="006F0D08" w:rsidRDefault="006F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4768E" w14:paraId="3CC31C0C" w14:textId="77777777" w:rsidTr="00194DB3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DC7959B" w14:textId="77777777" w:rsidR="0054768E" w:rsidRDefault="0054768E" w:rsidP="0054768E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54768E" w14:paraId="4CF8016A" w14:textId="77777777" w:rsidTr="00194DB3">
      <w:tc>
        <w:tcPr>
          <w:tcW w:w="4535" w:type="dxa"/>
          <w:gridSpan w:val="2"/>
          <w:hideMark/>
        </w:tcPr>
        <w:p w14:paraId="2417CFCD" w14:textId="499CB637" w:rsidR="0054768E" w:rsidRDefault="0054768E" w:rsidP="0054768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BB3DCF">
            <w:rPr>
              <w:color w:val="808080" w:themeColor="background1" w:themeShade="80"/>
              <w:sz w:val="18"/>
              <w:szCs w:val="18"/>
            </w:rPr>
            <w:t>C</w:t>
          </w:r>
          <w:r>
            <w:rPr>
              <w:color w:val="808080" w:themeColor="background1" w:themeShade="80"/>
              <w:sz w:val="18"/>
              <w:szCs w:val="18"/>
            </w:rPr>
            <w:t>79</w:t>
          </w:r>
          <w:r w:rsidR="009536E9">
            <w:rPr>
              <w:color w:val="808080" w:themeColor="background1" w:themeShade="80"/>
              <w:sz w:val="18"/>
              <w:szCs w:val="18"/>
            </w:rPr>
            <w:t>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08BC457" w14:textId="0B8973EC" w:rsidR="0054768E" w:rsidRDefault="0054768E" w:rsidP="0054768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="00D06A41"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4768E" w14:paraId="0AA8A538" w14:textId="77777777" w:rsidTr="00194DB3">
      <w:tc>
        <w:tcPr>
          <w:tcW w:w="1657" w:type="dxa"/>
          <w:hideMark/>
        </w:tcPr>
        <w:p w14:paraId="615B281B" w14:textId="77777777" w:rsidR="0054768E" w:rsidRDefault="0054768E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11E8388" w14:textId="68DC980A" w:rsidR="0054768E" w:rsidRDefault="001D28E2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LGT2.0</w:t>
          </w:r>
        </w:p>
      </w:tc>
    </w:tr>
    <w:tr w:rsidR="0054768E" w14:paraId="7138811E" w14:textId="77777777" w:rsidTr="00194DB3">
      <w:tc>
        <w:tcPr>
          <w:tcW w:w="1657" w:type="dxa"/>
          <w:hideMark/>
        </w:tcPr>
        <w:p w14:paraId="02D6FA4A" w14:textId="77777777" w:rsidR="0054768E" w:rsidRDefault="0054768E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C4C968E" w14:textId="2AEAF5A3" w:rsidR="0054768E" w:rsidRDefault="001D28E2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FBE4594" w14:textId="77777777" w:rsidR="0054768E" w:rsidRDefault="005476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5F210" w14:textId="77777777" w:rsidR="006F0D08" w:rsidRDefault="006F0D08">
      <w:r>
        <w:separator/>
      </w:r>
    </w:p>
  </w:footnote>
  <w:footnote w:type="continuationSeparator" w:id="0">
    <w:p w14:paraId="0F05EDF8" w14:textId="77777777" w:rsidR="006F0D08" w:rsidRDefault="006F0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FF59" w14:textId="6B86ACC3" w:rsidR="00E55A7D" w:rsidRDefault="003E535C">
    <w:pPr>
      <w:pStyle w:val="Header"/>
    </w:pP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6C433DF"/>
    <w:multiLevelType w:val="hybridMultilevel"/>
    <w:tmpl w:val="DCFC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C403AD"/>
    <w:multiLevelType w:val="hybridMultilevel"/>
    <w:tmpl w:val="6C1CF54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685564C"/>
    <w:multiLevelType w:val="hybridMultilevel"/>
    <w:tmpl w:val="5A200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74883052">
    <w:abstractNumId w:val="10"/>
  </w:num>
  <w:num w:numId="2" w16cid:durableId="1765300402">
    <w:abstractNumId w:val="5"/>
  </w:num>
  <w:num w:numId="3" w16cid:durableId="1659114215">
    <w:abstractNumId w:val="18"/>
  </w:num>
  <w:num w:numId="4" w16cid:durableId="2143182651">
    <w:abstractNumId w:val="11"/>
  </w:num>
  <w:num w:numId="5" w16cid:durableId="148638672">
    <w:abstractNumId w:val="21"/>
  </w:num>
  <w:num w:numId="6" w16cid:durableId="257762620">
    <w:abstractNumId w:val="7"/>
  </w:num>
  <w:num w:numId="7" w16cid:durableId="1278877171">
    <w:abstractNumId w:val="13"/>
  </w:num>
  <w:num w:numId="8" w16cid:durableId="559828104">
    <w:abstractNumId w:val="16"/>
  </w:num>
  <w:num w:numId="9" w16cid:durableId="810562970">
    <w:abstractNumId w:val="23"/>
  </w:num>
  <w:num w:numId="10" w16cid:durableId="77674481">
    <w:abstractNumId w:val="6"/>
  </w:num>
  <w:num w:numId="11" w16cid:durableId="1446535533">
    <w:abstractNumId w:val="3"/>
  </w:num>
  <w:num w:numId="12" w16cid:durableId="1632202073">
    <w:abstractNumId w:val="1"/>
  </w:num>
  <w:num w:numId="13" w16cid:durableId="754088475">
    <w:abstractNumId w:val="15"/>
  </w:num>
  <w:num w:numId="14" w16cid:durableId="672293675">
    <w:abstractNumId w:val="20"/>
  </w:num>
  <w:num w:numId="15" w16cid:durableId="1186556418">
    <w:abstractNumId w:val="25"/>
  </w:num>
  <w:num w:numId="16" w16cid:durableId="746803426">
    <w:abstractNumId w:val="4"/>
  </w:num>
  <w:num w:numId="17" w16cid:durableId="792674402">
    <w:abstractNumId w:val="9"/>
  </w:num>
  <w:num w:numId="18" w16cid:durableId="1032531868">
    <w:abstractNumId w:val="19"/>
  </w:num>
  <w:num w:numId="19" w16cid:durableId="1008411781">
    <w:abstractNumId w:val="0"/>
  </w:num>
  <w:num w:numId="20" w16cid:durableId="743649749">
    <w:abstractNumId w:val="8"/>
  </w:num>
  <w:num w:numId="21" w16cid:durableId="46296849">
    <w:abstractNumId w:val="12"/>
  </w:num>
  <w:num w:numId="22" w16cid:durableId="700740727">
    <w:abstractNumId w:val="22"/>
  </w:num>
  <w:num w:numId="23" w16cid:durableId="1151556169">
    <w:abstractNumId w:val="2"/>
  </w:num>
  <w:num w:numId="24" w16cid:durableId="1864243075">
    <w:abstractNumId w:val="17"/>
  </w:num>
  <w:num w:numId="25" w16cid:durableId="910383135">
    <w:abstractNumId w:val="24"/>
  </w:num>
  <w:num w:numId="26" w16cid:durableId="1493566128">
    <w:abstractNumId w:val="14"/>
  </w:num>
  <w:num w:numId="27" w16cid:durableId="1193032491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07"/>
    <w:rsid w:val="00003766"/>
    <w:rsid w:val="0001538B"/>
    <w:rsid w:val="0004639E"/>
    <w:rsid w:val="00074534"/>
    <w:rsid w:val="000775C8"/>
    <w:rsid w:val="000C6285"/>
    <w:rsid w:val="001013E1"/>
    <w:rsid w:val="00101662"/>
    <w:rsid w:val="001267A1"/>
    <w:rsid w:val="00147A3C"/>
    <w:rsid w:val="00156E42"/>
    <w:rsid w:val="00164783"/>
    <w:rsid w:val="001827CA"/>
    <w:rsid w:val="001B3734"/>
    <w:rsid w:val="001B49BC"/>
    <w:rsid w:val="001D28E2"/>
    <w:rsid w:val="002162D8"/>
    <w:rsid w:val="00247A92"/>
    <w:rsid w:val="002647ED"/>
    <w:rsid w:val="00296B34"/>
    <w:rsid w:val="002A2667"/>
    <w:rsid w:val="002A63B2"/>
    <w:rsid w:val="002C7C33"/>
    <w:rsid w:val="002D5A60"/>
    <w:rsid w:val="0032763C"/>
    <w:rsid w:val="00352631"/>
    <w:rsid w:val="00381C16"/>
    <w:rsid w:val="00391CA2"/>
    <w:rsid w:val="003A19C7"/>
    <w:rsid w:val="003B313D"/>
    <w:rsid w:val="003E2E26"/>
    <w:rsid w:val="003E535C"/>
    <w:rsid w:val="003F637D"/>
    <w:rsid w:val="004008FB"/>
    <w:rsid w:val="00422F23"/>
    <w:rsid w:val="00436EB5"/>
    <w:rsid w:val="0045758D"/>
    <w:rsid w:val="0049058A"/>
    <w:rsid w:val="004964F5"/>
    <w:rsid w:val="004A793C"/>
    <w:rsid w:val="004C0F17"/>
    <w:rsid w:val="004F3AA7"/>
    <w:rsid w:val="00502B16"/>
    <w:rsid w:val="00521249"/>
    <w:rsid w:val="0054768E"/>
    <w:rsid w:val="00557D67"/>
    <w:rsid w:val="005B39FE"/>
    <w:rsid w:val="005B6756"/>
    <w:rsid w:val="005C29FB"/>
    <w:rsid w:val="005C5624"/>
    <w:rsid w:val="005E49D9"/>
    <w:rsid w:val="005F26B4"/>
    <w:rsid w:val="00606C36"/>
    <w:rsid w:val="006171A1"/>
    <w:rsid w:val="00651BD7"/>
    <w:rsid w:val="0067265B"/>
    <w:rsid w:val="00684E1C"/>
    <w:rsid w:val="00686B4F"/>
    <w:rsid w:val="006A0CB8"/>
    <w:rsid w:val="006A52EF"/>
    <w:rsid w:val="006A6A86"/>
    <w:rsid w:val="006C53A5"/>
    <w:rsid w:val="006D561C"/>
    <w:rsid w:val="006E711E"/>
    <w:rsid w:val="006F08FF"/>
    <w:rsid w:val="006F0D08"/>
    <w:rsid w:val="0072610C"/>
    <w:rsid w:val="00755120"/>
    <w:rsid w:val="007731CB"/>
    <w:rsid w:val="00783DBB"/>
    <w:rsid w:val="00784745"/>
    <w:rsid w:val="007D6735"/>
    <w:rsid w:val="007D7319"/>
    <w:rsid w:val="00812929"/>
    <w:rsid w:val="008232D2"/>
    <w:rsid w:val="00832AB4"/>
    <w:rsid w:val="0088519F"/>
    <w:rsid w:val="008861F4"/>
    <w:rsid w:val="008D0E46"/>
    <w:rsid w:val="00921D75"/>
    <w:rsid w:val="0092591E"/>
    <w:rsid w:val="009536E9"/>
    <w:rsid w:val="00954C65"/>
    <w:rsid w:val="00965309"/>
    <w:rsid w:val="009C5514"/>
    <w:rsid w:val="009C7A89"/>
    <w:rsid w:val="009D36D1"/>
    <w:rsid w:val="009E405A"/>
    <w:rsid w:val="00A0592E"/>
    <w:rsid w:val="00A05AC4"/>
    <w:rsid w:val="00A13567"/>
    <w:rsid w:val="00AA484D"/>
    <w:rsid w:val="00AC3A6C"/>
    <w:rsid w:val="00AE3558"/>
    <w:rsid w:val="00AF4176"/>
    <w:rsid w:val="00B1551F"/>
    <w:rsid w:val="00B22C43"/>
    <w:rsid w:val="00B2617D"/>
    <w:rsid w:val="00B407DF"/>
    <w:rsid w:val="00B55919"/>
    <w:rsid w:val="00B71AB2"/>
    <w:rsid w:val="00B80593"/>
    <w:rsid w:val="00B83433"/>
    <w:rsid w:val="00B96B64"/>
    <w:rsid w:val="00BA1AB5"/>
    <w:rsid w:val="00BB3DCF"/>
    <w:rsid w:val="00BB65A2"/>
    <w:rsid w:val="00BF2467"/>
    <w:rsid w:val="00BF352A"/>
    <w:rsid w:val="00CA46E5"/>
    <w:rsid w:val="00CC5D03"/>
    <w:rsid w:val="00CD3C77"/>
    <w:rsid w:val="00CD40BC"/>
    <w:rsid w:val="00CE520B"/>
    <w:rsid w:val="00CF220A"/>
    <w:rsid w:val="00D06A41"/>
    <w:rsid w:val="00D10390"/>
    <w:rsid w:val="00D22D5E"/>
    <w:rsid w:val="00D27824"/>
    <w:rsid w:val="00D3427A"/>
    <w:rsid w:val="00D36017"/>
    <w:rsid w:val="00D70B39"/>
    <w:rsid w:val="00D71B0A"/>
    <w:rsid w:val="00D82143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55A7D"/>
    <w:rsid w:val="00E669DC"/>
    <w:rsid w:val="00E756C8"/>
    <w:rsid w:val="00EA4D68"/>
    <w:rsid w:val="00EB4DBE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0E6D9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28E2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1D28E2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1D28E2"/>
    <w:pPr>
      <w:ind w:left="720"/>
      <w:contextualSpacing/>
    </w:pPr>
  </w:style>
  <w:style w:type="table" w:styleId="TableGrid">
    <w:name w:val="Table Grid"/>
    <w:basedOn w:val="TableNormal"/>
    <w:rsid w:val="001D2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1D28E2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2617D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D28E2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1D28E2"/>
    <w:pPr>
      <w:keepNext/>
      <w:numPr>
        <w:numId w:val="7"/>
      </w:numPr>
    </w:pPr>
    <w:rPr>
      <w:b/>
      <w:bCs/>
    </w:rPr>
  </w:style>
  <w:style w:type="paragraph" w:customStyle="1" w:styleId="OLNumber1">
    <w:name w:val="OL_Number1"/>
    <w:basedOn w:val="OLNormal"/>
    <w:qFormat/>
    <w:rsid w:val="001D28E2"/>
    <w:pPr>
      <w:numPr>
        <w:ilvl w:val="1"/>
        <w:numId w:val="7"/>
      </w:numPr>
    </w:pPr>
  </w:style>
  <w:style w:type="paragraph" w:customStyle="1" w:styleId="OLNumber2">
    <w:name w:val="OL_Number2"/>
    <w:basedOn w:val="OLNormal"/>
    <w:qFormat/>
    <w:rsid w:val="001D28E2"/>
    <w:pPr>
      <w:numPr>
        <w:ilvl w:val="2"/>
        <w:numId w:val="7"/>
      </w:numPr>
    </w:pPr>
  </w:style>
  <w:style w:type="paragraph" w:customStyle="1" w:styleId="OLNumber3">
    <w:name w:val="OL_Number3"/>
    <w:basedOn w:val="OLNormal"/>
    <w:qFormat/>
    <w:rsid w:val="001D28E2"/>
    <w:pPr>
      <w:numPr>
        <w:ilvl w:val="3"/>
        <w:numId w:val="7"/>
      </w:numPr>
    </w:pPr>
  </w:style>
  <w:style w:type="paragraph" w:customStyle="1" w:styleId="OLNumber4">
    <w:name w:val="OL_Number4"/>
    <w:basedOn w:val="OLNormal"/>
    <w:qFormat/>
    <w:rsid w:val="001D28E2"/>
    <w:pPr>
      <w:numPr>
        <w:ilvl w:val="4"/>
        <w:numId w:val="7"/>
      </w:numPr>
    </w:pPr>
  </w:style>
  <w:style w:type="paragraph" w:customStyle="1" w:styleId="OLNumber5">
    <w:name w:val="OL_Number5"/>
    <w:basedOn w:val="OLNormal"/>
    <w:qFormat/>
    <w:rsid w:val="001D28E2"/>
    <w:pPr>
      <w:numPr>
        <w:ilvl w:val="5"/>
        <w:numId w:val="7"/>
      </w:numPr>
    </w:pPr>
  </w:style>
  <w:style w:type="paragraph" w:customStyle="1" w:styleId="OLBullet0">
    <w:name w:val="OL_Bullet0"/>
    <w:basedOn w:val="OLNormal"/>
    <w:qFormat/>
    <w:rsid w:val="001D28E2"/>
    <w:pPr>
      <w:numPr>
        <w:numId w:val="8"/>
      </w:numPr>
    </w:pPr>
    <w:rPr>
      <w:szCs w:val="24"/>
    </w:rPr>
  </w:style>
  <w:style w:type="paragraph" w:customStyle="1" w:styleId="OLBodyText">
    <w:name w:val="OL_BodyText"/>
    <w:basedOn w:val="OLNormal"/>
    <w:qFormat/>
    <w:rsid w:val="001D28E2"/>
  </w:style>
  <w:style w:type="paragraph" w:customStyle="1" w:styleId="OLHeading">
    <w:name w:val="OL_Heading"/>
    <w:basedOn w:val="Normal"/>
    <w:next w:val="OLBodyText"/>
    <w:qFormat/>
    <w:rsid w:val="001D28E2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D28E2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D28E2"/>
    <w:pPr>
      <w:numPr>
        <w:numId w:val="9"/>
      </w:numPr>
    </w:pPr>
    <w:rPr>
      <w:szCs w:val="24"/>
    </w:rPr>
  </w:style>
  <w:style w:type="paragraph" w:customStyle="1" w:styleId="OLBullet2">
    <w:name w:val="OL_Bullet2"/>
    <w:basedOn w:val="OLNormal"/>
    <w:qFormat/>
    <w:rsid w:val="001D28E2"/>
    <w:pPr>
      <w:numPr>
        <w:numId w:val="10"/>
      </w:numPr>
    </w:pPr>
    <w:rPr>
      <w:szCs w:val="24"/>
    </w:rPr>
  </w:style>
  <w:style w:type="paragraph" w:customStyle="1" w:styleId="OLListPara">
    <w:name w:val="OL_ListPara"/>
    <w:basedOn w:val="Normal"/>
    <w:rsid w:val="001D28E2"/>
    <w:pPr>
      <w:numPr>
        <w:numId w:val="11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D28E2"/>
    <w:pPr>
      <w:spacing w:after="240"/>
    </w:pPr>
  </w:style>
  <w:style w:type="paragraph" w:customStyle="1" w:styleId="OLNumber0NoNum">
    <w:name w:val="OL_Number0_NoNum"/>
    <w:basedOn w:val="OLNumber0"/>
    <w:next w:val="OLNumber1"/>
    <w:rsid w:val="001D28E2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D28E2"/>
    <w:pPr>
      <w:ind w:left="709"/>
    </w:pPr>
  </w:style>
  <w:style w:type="paragraph" w:customStyle="1" w:styleId="OLIndent2">
    <w:name w:val="OL_Indent2"/>
    <w:basedOn w:val="OLNormal"/>
    <w:qFormat/>
    <w:rsid w:val="001D28E2"/>
    <w:pPr>
      <w:ind w:left="1418"/>
    </w:pPr>
  </w:style>
  <w:style w:type="paragraph" w:customStyle="1" w:styleId="OLIndent3">
    <w:name w:val="OL_Indent3"/>
    <w:basedOn w:val="OLNormal"/>
    <w:qFormat/>
    <w:rsid w:val="001D28E2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D28E2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D28E2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D28E2"/>
    <w:pPr>
      <w:keepNext/>
    </w:pPr>
    <w:rPr>
      <w:b/>
    </w:rPr>
  </w:style>
  <w:style w:type="paragraph" w:customStyle="1" w:styleId="OLQuote">
    <w:name w:val="OL_Quote"/>
    <w:basedOn w:val="OLNormal"/>
    <w:qFormat/>
    <w:rsid w:val="001D28E2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D28E2"/>
    <w:pPr>
      <w:pageBreakBefore/>
      <w:widowControl w:val="0"/>
      <w:numPr>
        <w:numId w:val="20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D28E2"/>
    <w:pPr>
      <w:widowControl w:val="0"/>
      <w:numPr>
        <w:numId w:val="21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D28E2"/>
    <w:pPr>
      <w:widowControl w:val="0"/>
      <w:numPr>
        <w:ilvl w:val="1"/>
        <w:numId w:val="21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D28E2"/>
    <w:pPr>
      <w:widowControl w:val="0"/>
      <w:numPr>
        <w:ilvl w:val="2"/>
        <w:numId w:val="21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D28E2"/>
    <w:pPr>
      <w:numPr>
        <w:numId w:val="27"/>
      </w:numPr>
    </w:pPr>
  </w:style>
  <w:style w:type="paragraph" w:customStyle="1" w:styleId="OLBullet4">
    <w:name w:val="OL_Bullet4"/>
    <w:basedOn w:val="OLNormal"/>
    <w:qFormat/>
    <w:rsid w:val="001D28E2"/>
    <w:pPr>
      <w:numPr>
        <w:numId w:val="23"/>
      </w:numPr>
    </w:pPr>
  </w:style>
  <w:style w:type="paragraph" w:customStyle="1" w:styleId="OLBullet5">
    <w:name w:val="OL_Bullet5"/>
    <w:basedOn w:val="OLNormal"/>
    <w:rsid w:val="001D28E2"/>
    <w:pPr>
      <w:numPr>
        <w:numId w:val="24"/>
      </w:numPr>
    </w:pPr>
  </w:style>
  <w:style w:type="paragraph" w:customStyle="1" w:styleId="OLSchedule0Heading">
    <w:name w:val="OL_Schedule0_Heading"/>
    <w:basedOn w:val="OLNormal"/>
    <w:next w:val="OLBodyText"/>
    <w:qFormat/>
    <w:rsid w:val="001D28E2"/>
    <w:pPr>
      <w:keepNext/>
      <w:pageBreakBefore/>
      <w:widowControl w:val="0"/>
      <w:numPr>
        <w:numId w:val="25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D28E2"/>
    <w:pPr>
      <w:keepNext/>
      <w:widowControl w:val="0"/>
      <w:numPr>
        <w:ilvl w:val="1"/>
        <w:numId w:val="25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D28E2"/>
    <w:pPr>
      <w:widowControl w:val="0"/>
      <w:numPr>
        <w:ilvl w:val="2"/>
        <w:numId w:val="25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D28E2"/>
    <w:pPr>
      <w:widowControl w:val="0"/>
      <w:numPr>
        <w:ilvl w:val="3"/>
        <w:numId w:val="25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D28E2"/>
    <w:pPr>
      <w:numPr>
        <w:ilvl w:val="4"/>
        <w:numId w:val="25"/>
      </w:numPr>
    </w:pPr>
  </w:style>
  <w:style w:type="paragraph" w:customStyle="1" w:styleId="OLNumber1BU">
    <w:name w:val="OL_Number1BU"/>
    <w:basedOn w:val="OLNumber1B"/>
    <w:next w:val="OLNumber2"/>
    <w:qFormat/>
    <w:rsid w:val="001D28E2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D28E2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D28E2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D28E2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DA0F33-7A2F-4E1D-AE68-41DD2E30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4</cp:revision>
  <cp:lastPrinted>2016-09-08T05:38:00Z</cp:lastPrinted>
  <dcterms:created xsi:type="dcterms:W3CDTF">2023-08-04T01:54:00Z</dcterms:created>
  <dcterms:modified xsi:type="dcterms:W3CDTF">2023-12-07T04:23:00Z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