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4300" w14:textId="1BD335EF" w:rsidR="00FB2407" w:rsidRPr="0054607A" w:rsidRDefault="00030D1E" w:rsidP="00E7657B">
      <w:pPr>
        <w:pStyle w:val="OLHeadingCU"/>
      </w:pPr>
      <w:r w:rsidRPr="0054607A">
        <w:t>C12</w:t>
      </w:r>
      <w:r w:rsidR="00B47945" w:rsidRPr="0054607A">
        <w:t>4</w:t>
      </w:r>
      <w:r w:rsidRPr="0054607A">
        <w:t xml:space="preserve">A </w:t>
      </w:r>
      <w:r w:rsidR="00163366" w:rsidRPr="0054607A">
        <w:t>–</w:t>
      </w:r>
      <w:r w:rsidR="008F63AA" w:rsidRPr="0054607A">
        <w:t xml:space="preserve"> </w:t>
      </w:r>
      <w:r w:rsidR="00EB5E5E" w:rsidRPr="0054607A">
        <w:t>Contractor</w:t>
      </w:r>
      <w:r w:rsidR="00163366" w:rsidRPr="0054607A">
        <w:t>’</w:t>
      </w:r>
      <w:r w:rsidR="00EB5E5E" w:rsidRPr="0054607A">
        <w:t xml:space="preserve">s </w:t>
      </w:r>
      <w:r w:rsidR="005E5D49" w:rsidRPr="0054607A">
        <w:t xml:space="preserve">NOTICE OF </w:t>
      </w:r>
      <w:r w:rsidR="00CF0FB8" w:rsidRPr="0054607A">
        <w:t xml:space="preserve">informal variation </w:t>
      </w:r>
      <w:r w:rsidR="005E5D49" w:rsidRPr="0054607A">
        <w:t>DIRECTION</w:t>
      </w:r>
    </w:p>
    <w:p w14:paraId="31BD37E2" w14:textId="77777777" w:rsidR="00CF220A" w:rsidRPr="00FB6745" w:rsidRDefault="00EB5E5E" w:rsidP="00E7657B">
      <w:pPr>
        <w:pStyle w:val="OLSubHeadingC"/>
      </w:pPr>
      <w:r w:rsidRPr="00FB6745">
        <w:t xml:space="preserve">(Subclause </w:t>
      </w:r>
      <w:r w:rsidR="00CF0FB8">
        <w:t>36.4</w:t>
      </w:r>
      <w:r w:rsidR="00CF220A" w:rsidRPr="00FB6745">
        <w:t>)</w:t>
      </w:r>
    </w:p>
    <w:p w14:paraId="28419ADC" w14:textId="6B4C1DDE" w:rsidR="00FB240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DATE: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DATE OF NOTICE]</w:t>
      </w:r>
      <w:r w:rsidR="00CF220A" w:rsidRPr="009968CD">
        <w:fldChar w:fldCharType="end"/>
      </w:r>
    </w:p>
    <w:p w14:paraId="380EA141" w14:textId="77777777" w:rsidR="00CF220A" w:rsidRPr="009968CD" w:rsidRDefault="00CF220A" w:rsidP="00D00C6C">
      <w:pPr>
        <w:pStyle w:val="OLBodyText"/>
        <w:tabs>
          <w:tab w:val="left" w:pos="2551"/>
        </w:tabs>
        <w:ind w:left="2551" w:hanging="2551"/>
      </w:pPr>
      <w:r w:rsidRPr="009968CD">
        <w:t>TO</w:t>
      </w:r>
      <w:r w:rsidR="003A19C7" w:rsidRPr="009968CD">
        <w:t xml:space="preserve"> SUPERINTENDENT</w:t>
      </w:r>
      <w:r w:rsidRPr="009968CD">
        <w:t>:</w:t>
      </w:r>
      <w:r w:rsidRPr="009968CD">
        <w:tab/>
      </w:r>
      <w:r w:rsidR="00EB5E5E" w:rsidRPr="009968CD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9968CD">
        <w:instrText xml:space="preserve"> FORMTEXT </w:instrText>
      </w:r>
      <w:r w:rsidR="00EB5E5E" w:rsidRPr="009968CD">
        <w:fldChar w:fldCharType="separate"/>
      </w:r>
      <w:r w:rsidR="00EB5E5E" w:rsidRPr="009968CD">
        <w:rPr>
          <w:noProof/>
        </w:rPr>
        <w:t>[INSERT SUPERINTENDENT]</w:t>
      </w:r>
      <w:r w:rsidR="00EB5E5E" w:rsidRPr="009968CD">
        <w:fldChar w:fldCharType="end"/>
      </w:r>
    </w:p>
    <w:p w14:paraId="10B0EA59" w14:textId="6222B0C7" w:rsidR="00FB240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PROJECT NAME: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PROJECT/CONTRACT NAME]</w:t>
      </w:r>
      <w:r w:rsidR="00CF220A" w:rsidRPr="009968CD">
        <w:fldChar w:fldCharType="end"/>
      </w:r>
    </w:p>
    <w:p w14:paraId="203EC340" w14:textId="67E4A81E" w:rsidR="003A19C7" w:rsidRPr="009968CD" w:rsidRDefault="00FB2407" w:rsidP="00D00C6C">
      <w:pPr>
        <w:pStyle w:val="OLBodyText"/>
        <w:tabs>
          <w:tab w:val="left" w:pos="2551"/>
        </w:tabs>
        <w:ind w:left="2551" w:hanging="2551"/>
      </w:pPr>
      <w:r w:rsidRPr="009968CD">
        <w:t>CONTRACT No.:</w:t>
      </w:r>
      <w:r w:rsidR="0054607A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CONTRACT NUMBER]</w:t>
      </w:r>
      <w:r w:rsidR="00CF220A" w:rsidRPr="009968CD">
        <w:fldChar w:fldCharType="end"/>
      </w:r>
    </w:p>
    <w:p w14:paraId="687E0B95" w14:textId="4A128155" w:rsidR="00F141A4" w:rsidRPr="009968CD" w:rsidRDefault="00171746" w:rsidP="00D00C6C">
      <w:pPr>
        <w:pStyle w:val="OLBodyText"/>
        <w:tabs>
          <w:tab w:val="left" w:pos="2551"/>
        </w:tabs>
        <w:ind w:left="2551" w:hanging="2551"/>
      </w:pPr>
      <w:r>
        <w:t>VARIATION</w:t>
      </w:r>
      <w:r w:rsidRPr="009968CD">
        <w:t xml:space="preserve"> </w:t>
      </w:r>
      <w:r w:rsidR="00F141A4" w:rsidRPr="009968CD">
        <w:t>No.:</w:t>
      </w:r>
      <w:r w:rsidR="0054607A">
        <w:tab/>
      </w:r>
      <w:r>
        <w:fldChar w:fldCharType="begin">
          <w:ffData>
            <w:name w:val=""/>
            <w:enabled/>
            <w:calcOnExit w:val="0"/>
            <w:textInput>
              <w:default w:val="[INSERT IDENTIFICATION NUMBER OF VARIATION CLAIM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IDENTIFICATION NUMBER OF VARIATION CLAIM]</w:t>
      </w:r>
      <w:r>
        <w:fldChar w:fldCharType="end"/>
      </w:r>
    </w:p>
    <w:p w14:paraId="00FA3CC9" w14:textId="77777777" w:rsidR="009A6DA5" w:rsidRPr="00F12E00" w:rsidRDefault="009A6DA5" w:rsidP="009A6DA5">
      <w:pPr>
        <w:pStyle w:val="OLHeadingLine"/>
      </w:pPr>
    </w:p>
    <w:p w14:paraId="45882471" w14:textId="397EEA56" w:rsidR="0053327A" w:rsidRPr="009968CD" w:rsidRDefault="0053327A" w:rsidP="0054607A">
      <w:pPr>
        <w:pStyle w:val="OLBodyText"/>
      </w:pPr>
      <w:r w:rsidRPr="009968CD">
        <w:t xml:space="preserve">The Contractor refers to the Superintendent’s direction dated </w:t>
      </w:r>
      <w:r w:rsidRPr="009968CD">
        <w:fldChar w:fldCharType="begin">
          <w:ffData>
            <w:name w:val="Text2"/>
            <w:enabled/>
            <w:calcOnExit w:val="0"/>
            <w:textInput>
              <w:default w:val="[INSERT DATE OF DIRECTION]"/>
            </w:textInput>
          </w:ffData>
        </w:fldChar>
      </w:r>
      <w:bookmarkStart w:id="0" w:name="Text2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DATE OF DIRECTION]</w:t>
      </w:r>
      <w:r w:rsidRPr="009968CD">
        <w:fldChar w:fldCharType="end"/>
      </w:r>
      <w:bookmarkEnd w:id="0"/>
      <w:r w:rsidRPr="009968CD">
        <w:t xml:space="preserve"> </w:t>
      </w:r>
      <w:r w:rsidR="00CF0FB8">
        <w:t>in which the Superintendent directed the Contrac</w:t>
      </w:r>
      <w:r w:rsidR="00030D1E">
        <w:t>t</w:t>
      </w:r>
      <w:r w:rsidR="00CF0FB8">
        <w:t>or as follows:</w:t>
      </w:r>
    </w:p>
    <w:tbl>
      <w:tblPr>
        <w:tblStyle w:val="TableGrid"/>
        <w:tblW w:w="9077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7"/>
      </w:tblGrid>
      <w:tr w:rsidR="00FB6745" w:rsidRPr="009968CD" w14:paraId="081A91DF" w14:textId="77777777" w:rsidTr="00D00C6C">
        <w:trPr>
          <w:trHeight w:val="1701"/>
        </w:trPr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A25C" w14:textId="32A40048" w:rsidR="00FB6745" w:rsidRPr="009968CD" w:rsidRDefault="00FB6745" w:rsidP="00D00C6C">
            <w:pPr>
              <w:pStyle w:val="OLTableText"/>
            </w:pPr>
            <w:r w:rsidRPr="009968CD">
              <w:fldChar w:fldCharType="begin">
                <w:ffData>
                  <w:name w:val="Text3"/>
                  <w:enabled/>
                  <w:calcOnExit w:val="0"/>
                  <w:textInput>
                    <w:default w:val="[CONTRACTOR TO SET OUT DETAILS OF THE DIRECTION]"/>
                  </w:textInput>
                </w:ffData>
              </w:fldChar>
            </w:r>
            <w:bookmarkStart w:id="1" w:name="Text3"/>
            <w:r w:rsidRPr="009968CD">
              <w:instrText xml:space="preserve"> FORMTEXT </w:instrText>
            </w:r>
            <w:r w:rsidRPr="009968CD">
              <w:fldChar w:fldCharType="separate"/>
            </w:r>
            <w:r w:rsidRPr="009968CD">
              <w:rPr>
                <w:noProof/>
              </w:rPr>
              <w:t>[CONTRACTOR TO SET OUT DETAILS OF THE DIRECTION]</w:t>
            </w:r>
            <w:r w:rsidRPr="009968CD">
              <w:fldChar w:fldCharType="end"/>
            </w:r>
            <w:bookmarkEnd w:id="1"/>
          </w:p>
        </w:tc>
      </w:tr>
    </w:tbl>
    <w:p w14:paraId="7E5AC172" w14:textId="77777777" w:rsidR="0053327A" w:rsidRDefault="0053327A" w:rsidP="00E7657B">
      <w:pPr>
        <w:pStyle w:val="OLNormal0"/>
      </w:pPr>
    </w:p>
    <w:p w14:paraId="7ABC1D69" w14:textId="77777777" w:rsidR="0053327A" w:rsidRPr="009968CD" w:rsidRDefault="0053327A" w:rsidP="0054607A">
      <w:pPr>
        <w:pStyle w:val="OLBodyText"/>
      </w:pPr>
      <w:r w:rsidRPr="009968CD">
        <w:t xml:space="preserve">The Contractor considers that this direction is a direction for </w:t>
      </w:r>
      <w:r w:rsidR="00CF0FB8">
        <w:t xml:space="preserve">a variation pursuant to subclause 36.1. </w:t>
      </w:r>
    </w:p>
    <w:p w14:paraId="1701E1F3" w14:textId="77777777" w:rsidR="0053327A" w:rsidRDefault="0053327A" w:rsidP="0054607A">
      <w:pPr>
        <w:pStyle w:val="OLBodyText"/>
      </w:pPr>
      <w:r w:rsidRPr="009968CD">
        <w:t xml:space="preserve">Unless the direction is withdrawn, the Contractor </w:t>
      </w:r>
      <w:r w:rsidR="00CF0FB8">
        <w:t xml:space="preserve">may submit a claim for an extension of time for completion and an adjustment to the contract sum in connection with the Contractor’s compliance with the direction.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E7657B" w:rsidRPr="009968CD" w14:paraId="5E78FF12" w14:textId="77777777" w:rsidTr="005B4E95">
        <w:trPr>
          <w:trHeight w:val="275"/>
        </w:trPr>
        <w:tc>
          <w:tcPr>
            <w:tcW w:w="4532" w:type="dxa"/>
          </w:tcPr>
          <w:p w14:paraId="043DB5FA" w14:textId="77777777" w:rsidR="00E7657B" w:rsidRPr="009968CD" w:rsidRDefault="00E7657B" w:rsidP="005B4E95">
            <w:pPr>
              <w:pStyle w:val="OLTableText"/>
              <w:keepNext/>
            </w:pPr>
            <w:bookmarkStart w:id="2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3" w:type="dxa"/>
          </w:tcPr>
          <w:p w14:paraId="4E7AF795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15E3F443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62DE3D9D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2EE9558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241F2E5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51E7705" w14:textId="77777777" w:rsidR="00E7657B" w:rsidRPr="009968CD" w:rsidRDefault="00E7657B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CC8F300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534E3C4C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B41127F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6A6F8500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6BD6093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B6C0DA4" w14:textId="77777777" w:rsidR="00E7657B" w:rsidRPr="009968CD" w:rsidRDefault="00E7657B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B544B34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61BBB565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D2B8E05" w14:textId="77777777" w:rsidR="00E7657B" w:rsidRPr="009968CD" w:rsidRDefault="00E7657B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5AF41AF9" w14:textId="77777777" w:rsidR="00E7657B" w:rsidRPr="009968CD" w:rsidRDefault="00E7657B" w:rsidP="005B4E95">
            <w:pPr>
              <w:pStyle w:val="OLTableText"/>
              <w:keepNext/>
            </w:pPr>
          </w:p>
        </w:tc>
      </w:tr>
      <w:tr w:rsidR="00E7657B" w:rsidRPr="009968CD" w14:paraId="04739D0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2AD5F4" w14:textId="77777777" w:rsidR="00E7657B" w:rsidRPr="009968CD" w:rsidRDefault="00E7657B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7B5EF1EA" w14:textId="77777777" w:rsidR="00E7657B" w:rsidRPr="009968CD" w:rsidRDefault="00E7657B" w:rsidP="005B4E95">
            <w:pPr>
              <w:pStyle w:val="OLTableText"/>
            </w:pPr>
          </w:p>
        </w:tc>
      </w:tr>
      <w:bookmarkEnd w:id="2"/>
    </w:tbl>
    <w:p w14:paraId="3D55E658" w14:textId="77777777" w:rsidR="00285DA4" w:rsidRDefault="00285DA4" w:rsidP="00E7657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"/>
        <w:gridCol w:w="8568"/>
      </w:tblGrid>
      <w:tr w:rsidR="007F17DB" w:rsidRPr="0054607A" w14:paraId="7B625275" w14:textId="77777777" w:rsidTr="00E75B71">
        <w:tc>
          <w:tcPr>
            <w:tcW w:w="9060" w:type="dxa"/>
            <w:gridSpan w:val="2"/>
          </w:tcPr>
          <w:p w14:paraId="237284EE" w14:textId="0EB049FD" w:rsidR="007F17DB" w:rsidRPr="0054607A" w:rsidRDefault="00EA6702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EA670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7F17DB" w:rsidRPr="0054607A">
              <w:rPr>
                <w:sz w:val="16"/>
                <w:szCs w:val="16"/>
              </w:rPr>
              <w:t>Notes:</w:t>
            </w:r>
          </w:p>
        </w:tc>
      </w:tr>
      <w:tr w:rsidR="007F17DB" w:rsidRPr="0054607A" w14:paraId="6F056693" w14:textId="77777777" w:rsidTr="00E75B71">
        <w:tc>
          <w:tcPr>
            <w:tcW w:w="492" w:type="dxa"/>
          </w:tcPr>
          <w:p w14:paraId="060254F5" w14:textId="77777777" w:rsidR="007F17DB" w:rsidRPr="0054607A" w:rsidRDefault="007F17DB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a)</w:t>
            </w:r>
          </w:p>
        </w:tc>
        <w:tc>
          <w:tcPr>
            <w:tcW w:w="8568" w:type="dxa"/>
          </w:tcPr>
          <w:p w14:paraId="2281F79F" w14:textId="02715655" w:rsidR="007F17DB" w:rsidRPr="0054607A" w:rsidRDefault="007F17DB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 xml:space="preserve">The Contractor must give this notice within </w:t>
            </w:r>
            <w:r w:rsidR="00915B7C" w:rsidRPr="0054607A">
              <w:rPr>
                <w:sz w:val="16"/>
                <w:szCs w:val="16"/>
              </w:rPr>
              <w:t>5 business days</w:t>
            </w:r>
            <w:r w:rsidRPr="0054607A">
              <w:rPr>
                <w:sz w:val="16"/>
                <w:szCs w:val="16"/>
              </w:rPr>
              <w:t xml:space="preserve"> after an informal variation direction is first given to the Contractor.</w:t>
            </w:r>
            <w:r w:rsidR="00322F6D" w:rsidRPr="0054607A">
              <w:rPr>
                <w:sz w:val="16"/>
                <w:szCs w:val="16"/>
              </w:rPr>
              <w:t xml:space="preserve"> If it is not given, then the </w:t>
            </w:r>
            <w:r w:rsidR="000410BD">
              <w:rPr>
                <w:sz w:val="16"/>
                <w:szCs w:val="16"/>
              </w:rPr>
              <w:t>Purchaser</w:t>
            </w:r>
            <w:r w:rsidR="00322F6D" w:rsidRPr="0054607A">
              <w:rPr>
                <w:sz w:val="16"/>
                <w:szCs w:val="16"/>
              </w:rPr>
              <w:t xml:space="preserve"> will not be liable upon any claim for compliance with the direction.</w:t>
            </w:r>
          </w:p>
        </w:tc>
      </w:tr>
      <w:tr w:rsidR="00E75B71" w:rsidRPr="0054607A" w14:paraId="50E50101" w14:textId="77777777" w:rsidTr="00E75B71">
        <w:tc>
          <w:tcPr>
            <w:tcW w:w="492" w:type="dxa"/>
          </w:tcPr>
          <w:p w14:paraId="3D3D111C" w14:textId="77777777" w:rsidR="00E75B71" w:rsidRPr="0054607A" w:rsidRDefault="00E75B71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b)</w:t>
            </w:r>
          </w:p>
        </w:tc>
        <w:tc>
          <w:tcPr>
            <w:tcW w:w="8568" w:type="dxa"/>
          </w:tcPr>
          <w:p w14:paraId="6AC634D0" w14:textId="77777777" w:rsidR="00E75B71" w:rsidRPr="0054607A" w:rsidRDefault="00E75B71" w:rsidP="00C17735">
            <w:pPr>
              <w:pStyle w:val="OLTableText"/>
              <w:keepNext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The Contractor must still comply with the requirements of the Contract for the claiming of an EOT (see Form C103).</w:t>
            </w:r>
          </w:p>
        </w:tc>
      </w:tr>
      <w:tr w:rsidR="007F17DB" w:rsidRPr="0054607A" w14:paraId="6056C66A" w14:textId="77777777" w:rsidTr="00E75B71">
        <w:tc>
          <w:tcPr>
            <w:tcW w:w="492" w:type="dxa"/>
          </w:tcPr>
          <w:p w14:paraId="7C645D80" w14:textId="07DE2C0D" w:rsidR="007F17DB" w:rsidRPr="0054607A" w:rsidRDefault="00E634A3" w:rsidP="0054607A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E75B71" w:rsidRPr="0054607A">
              <w:rPr>
                <w:sz w:val="16"/>
                <w:szCs w:val="16"/>
              </w:rPr>
              <w:t>)</w:t>
            </w:r>
          </w:p>
        </w:tc>
        <w:tc>
          <w:tcPr>
            <w:tcW w:w="8568" w:type="dxa"/>
          </w:tcPr>
          <w:p w14:paraId="3163E50C" w14:textId="5FEC80E6" w:rsidR="007F17DB" w:rsidRPr="0054607A" w:rsidRDefault="007F17DB" w:rsidP="0054607A">
            <w:pPr>
              <w:pStyle w:val="OLTableText"/>
              <w:rPr>
                <w:sz w:val="16"/>
                <w:szCs w:val="16"/>
              </w:rPr>
            </w:pPr>
            <w:r w:rsidRPr="0054607A">
              <w:rPr>
                <w:sz w:val="16"/>
                <w:szCs w:val="16"/>
              </w:rPr>
              <w:t>As to service of Form C12</w:t>
            </w:r>
            <w:r w:rsidR="00B47945" w:rsidRPr="0054607A">
              <w:rPr>
                <w:sz w:val="16"/>
                <w:szCs w:val="16"/>
              </w:rPr>
              <w:t>4</w:t>
            </w:r>
            <w:r w:rsidRPr="0054607A">
              <w:rPr>
                <w:sz w:val="16"/>
                <w:szCs w:val="16"/>
              </w:rPr>
              <w:t>A, refer to clause 7.</w:t>
            </w:r>
          </w:p>
        </w:tc>
      </w:tr>
    </w:tbl>
    <w:p w14:paraId="1594FB11" w14:textId="77777777" w:rsidR="00E7657B" w:rsidRDefault="00E7657B" w:rsidP="00E7657B">
      <w:pPr>
        <w:pStyle w:val="OLNormal0"/>
      </w:pPr>
    </w:p>
    <w:sectPr w:rsidR="00E7657B" w:rsidSect="0032138C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2AD19" w14:textId="77777777" w:rsidR="00E37248" w:rsidRDefault="00E37248">
      <w:r>
        <w:separator/>
      </w:r>
    </w:p>
  </w:endnote>
  <w:endnote w:type="continuationSeparator" w:id="0">
    <w:p w14:paraId="78BF8C12" w14:textId="77777777" w:rsidR="00E37248" w:rsidRDefault="00E3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918" w14:textId="084DA0CA" w:rsidR="005C71E4" w:rsidRDefault="005C71E4" w:rsidP="00E5298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E52989" w14:paraId="10337002" w14:textId="77777777" w:rsidTr="00696DB0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51E230D" w14:textId="77777777" w:rsidR="00E52989" w:rsidRDefault="00E52989" w:rsidP="00E5298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E52989" w14:paraId="38D9887E" w14:textId="77777777" w:rsidTr="00696DB0">
      <w:tc>
        <w:tcPr>
          <w:tcW w:w="4535" w:type="dxa"/>
          <w:gridSpan w:val="2"/>
          <w:hideMark/>
        </w:tcPr>
        <w:p w14:paraId="205CBEBE" w14:textId="77777777" w:rsidR="00E52989" w:rsidRDefault="00E52989" w:rsidP="00E5298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C124A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10E337A" w14:textId="77777777" w:rsidR="00E52989" w:rsidRDefault="00E52989" w:rsidP="00E5298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E52989" w14:paraId="3967F8FF" w14:textId="77777777" w:rsidTr="00696DB0">
      <w:tc>
        <w:tcPr>
          <w:tcW w:w="1657" w:type="dxa"/>
          <w:hideMark/>
        </w:tcPr>
        <w:p w14:paraId="0C5613F5" w14:textId="77777777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D484ABC" w14:textId="5109B792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274C5D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</w:t>
          </w:r>
          <w:r w:rsidR="000410BD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E52989" w14:paraId="017B99E9" w14:textId="77777777" w:rsidTr="00696DB0">
      <w:tc>
        <w:tcPr>
          <w:tcW w:w="1657" w:type="dxa"/>
          <w:hideMark/>
        </w:tcPr>
        <w:p w14:paraId="64C81B49" w14:textId="77777777" w:rsidR="00E52989" w:rsidRDefault="00E52989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BCBB8C0" w14:textId="7CD44652" w:rsidR="00E52989" w:rsidRDefault="000410BD" w:rsidP="00E5298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274C5D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7DCC325E" w14:textId="77777777" w:rsidR="00E52989" w:rsidRDefault="00E52989" w:rsidP="00E52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E63B" w14:textId="77777777" w:rsidR="00E37248" w:rsidRDefault="00E37248">
      <w:r>
        <w:separator/>
      </w:r>
    </w:p>
  </w:footnote>
  <w:footnote w:type="continuationSeparator" w:id="0">
    <w:p w14:paraId="03B27B91" w14:textId="77777777" w:rsidR="00E37248" w:rsidRDefault="00E37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05691276">
    <w:abstractNumId w:val="4"/>
  </w:num>
  <w:num w:numId="2" w16cid:durableId="812067937">
    <w:abstractNumId w:val="5"/>
  </w:num>
  <w:num w:numId="3" w16cid:durableId="1358311168">
    <w:abstractNumId w:val="7"/>
  </w:num>
  <w:num w:numId="4" w16cid:durableId="1239364737">
    <w:abstractNumId w:val="10"/>
  </w:num>
  <w:num w:numId="5" w16cid:durableId="1864514870">
    <w:abstractNumId w:val="3"/>
  </w:num>
  <w:num w:numId="6" w16cid:durableId="1963615435">
    <w:abstractNumId w:val="9"/>
    <w:lvlOverride w:ilvl="0">
      <w:startOverride w:val="1"/>
    </w:lvlOverride>
  </w:num>
  <w:num w:numId="7" w16cid:durableId="9070676">
    <w:abstractNumId w:val="1"/>
  </w:num>
  <w:num w:numId="8" w16cid:durableId="628820514">
    <w:abstractNumId w:val="8"/>
  </w:num>
  <w:num w:numId="9" w16cid:durableId="1803113830">
    <w:abstractNumId w:val="2"/>
  </w:num>
  <w:num w:numId="10" w16cid:durableId="315690790">
    <w:abstractNumId w:val="6"/>
  </w:num>
  <w:num w:numId="11" w16cid:durableId="106969366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0D1E"/>
    <w:rsid w:val="00032959"/>
    <w:rsid w:val="000410BD"/>
    <w:rsid w:val="0004639E"/>
    <w:rsid w:val="00066672"/>
    <w:rsid w:val="00066FD3"/>
    <w:rsid w:val="00074534"/>
    <w:rsid w:val="000B2273"/>
    <w:rsid w:val="000E31E7"/>
    <w:rsid w:val="00123D8A"/>
    <w:rsid w:val="001267A1"/>
    <w:rsid w:val="0015141E"/>
    <w:rsid w:val="00156E42"/>
    <w:rsid w:val="00163366"/>
    <w:rsid w:val="00171746"/>
    <w:rsid w:val="001878BD"/>
    <w:rsid w:val="00191CEC"/>
    <w:rsid w:val="001A7CE8"/>
    <w:rsid w:val="001B579F"/>
    <w:rsid w:val="00274C5D"/>
    <w:rsid w:val="00285DA4"/>
    <w:rsid w:val="00296B34"/>
    <w:rsid w:val="002A2667"/>
    <w:rsid w:val="002A63B2"/>
    <w:rsid w:val="002D03A8"/>
    <w:rsid w:val="002D5A60"/>
    <w:rsid w:val="003068A6"/>
    <w:rsid w:val="0032138C"/>
    <w:rsid w:val="00322F6D"/>
    <w:rsid w:val="00391CA2"/>
    <w:rsid w:val="00396B53"/>
    <w:rsid w:val="003A19C7"/>
    <w:rsid w:val="003B313D"/>
    <w:rsid w:val="003D41EB"/>
    <w:rsid w:val="003D66CA"/>
    <w:rsid w:val="00426954"/>
    <w:rsid w:val="00433377"/>
    <w:rsid w:val="004836DC"/>
    <w:rsid w:val="00485CB0"/>
    <w:rsid w:val="00486F01"/>
    <w:rsid w:val="004F3AA7"/>
    <w:rsid w:val="0053327A"/>
    <w:rsid w:val="00541326"/>
    <w:rsid w:val="0054607A"/>
    <w:rsid w:val="00554B45"/>
    <w:rsid w:val="00585F5A"/>
    <w:rsid w:val="005C29FB"/>
    <w:rsid w:val="005C71E4"/>
    <w:rsid w:val="005E5D49"/>
    <w:rsid w:val="006053AD"/>
    <w:rsid w:val="006126C7"/>
    <w:rsid w:val="006A6A86"/>
    <w:rsid w:val="006A6D50"/>
    <w:rsid w:val="006A7301"/>
    <w:rsid w:val="006D561C"/>
    <w:rsid w:val="006E4AB4"/>
    <w:rsid w:val="00723D49"/>
    <w:rsid w:val="00732565"/>
    <w:rsid w:val="00740E74"/>
    <w:rsid w:val="007B558F"/>
    <w:rsid w:val="007B7552"/>
    <w:rsid w:val="007E1C80"/>
    <w:rsid w:val="007F17DB"/>
    <w:rsid w:val="00802640"/>
    <w:rsid w:val="008232D2"/>
    <w:rsid w:val="008832BE"/>
    <w:rsid w:val="0088519F"/>
    <w:rsid w:val="008F63AA"/>
    <w:rsid w:val="00915B7C"/>
    <w:rsid w:val="0092591E"/>
    <w:rsid w:val="009968CD"/>
    <w:rsid w:val="009A1391"/>
    <w:rsid w:val="009A6DA5"/>
    <w:rsid w:val="009C7A89"/>
    <w:rsid w:val="009D36D1"/>
    <w:rsid w:val="009D3F27"/>
    <w:rsid w:val="009E405A"/>
    <w:rsid w:val="009E4732"/>
    <w:rsid w:val="009F29BE"/>
    <w:rsid w:val="00A22461"/>
    <w:rsid w:val="00A6519E"/>
    <w:rsid w:val="00AB332C"/>
    <w:rsid w:val="00B47945"/>
    <w:rsid w:val="00B57858"/>
    <w:rsid w:val="00B6082B"/>
    <w:rsid w:val="00B71AB2"/>
    <w:rsid w:val="00B80593"/>
    <w:rsid w:val="00B81E5D"/>
    <w:rsid w:val="00B8204E"/>
    <w:rsid w:val="00B90B1A"/>
    <w:rsid w:val="00B930FA"/>
    <w:rsid w:val="00B96417"/>
    <w:rsid w:val="00BA1AB5"/>
    <w:rsid w:val="00BB65A2"/>
    <w:rsid w:val="00BF2467"/>
    <w:rsid w:val="00C17735"/>
    <w:rsid w:val="00C26ED8"/>
    <w:rsid w:val="00C92C5E"/>
    <w:rsid w:val="00CC7922"/>
    <w:rsid w:val="00CD40BC"/>
    <w:rsid w:val="00CE1FC4"/>
    <w:rsid w:val="00CF0BE9"/>
    <w:rsid w:val="00CF0FB8"/>
    <w:rsid w:val="00CF220A"/>
    <w:rsid w:val="00D00C6C"/>
    <w:rsid w:val="00D01DB3"/>
    <w:rsid w:val="00D03848"/>
    <w:rsid w:val="00D10390"/>
    <w:rsid w:val="00D22BBF"/>
    <w:rsid w:val="00D24389"/>
    <w:rsid w:val="00D814F0"/>
    <w:rsid w:val="00DA0E5F"/>
    <w:rsid w:val="00DC49A5"/>
    <w:rsid w:val="00DE1EF8"/>
    <w:rsid w:val="00E37248"/>
    <w:rsid w:val="00E52989"/>
    <w:rsid w:val="00E634A3"/>
    <w:rsid w:val="00E75B71"/>
    <w:rsid w:val="00E7657B"/>
    <w:rsid w:val="00EA4D68"/>
    <w:rsid w:val="00EA6702"/>
    <w:rsid w:val="00EB42E4"/>
    <w:rsid w:val="00EB4DBE"/>
    <w:rsid w:val="00EB5E5E"/>
    <w:rsid w:val="00EC6D03"/>
    <w:rsid w:val="00F141A4"/>
    <w:rsid w:val="00F141E3"/>
    <w:rsid w:val="00F37FF6"/>
    <w:rsid w:val="00F662E5"/>
    <w:rsid w:val="00FB2407"/>
    <w:rsid w:val="00FB6745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0D5B09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07A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4607A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4607A"/>
    <w:pPr>
      <w:ind w:left="720"/>
      <w:contextualSpacing/>
    </w:pPr>
  </w:style>
  <w:style w:type="table" w:styleId="TableGrid">
    <w:name w:val="Table Grid"/>
    <w:basedOn w:val="TableNormal"/>
    <w:uiPriority w:val="59"/>
    <w:rsid w:val="00546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6B53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F17DB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E7657B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E7657B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E7657B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E7657B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E7657B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E7657B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E7657B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E7657B"/>
  </w:style>
  <w:style w:type="paragraph" w:customStyle="1" w:styleId="OLHeading">
    <w:name w:val="OL_Heading"/>
    <w:basedOn w:val="Normal"/>
    <w:next w:val="OLBodyText"/>
    <w:qFormat/>
    <w:rsid w:val="00E7657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E7657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E7657B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E7657B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E7657B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E7657B"/>
    <w:pPr>
      <w:spacing w:after="240"/>
    </w:pPr>
  </w:style>
  <w:style w:type="paragraph" w:customStyle="1" w:styleId="OLNumber0NoNum">
    <w:name w:val="OL_Number0_NoNum"/>
    <w:basedOn w:val="OLNumber0"/>
    <w:next w:val="OLNumber1"/>
    <w:rsid w:val="00E7657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E7657B"/>
    <w:pPr>
      <w:ind w:left="709"/>
    </w:pPr>
  </w:style>
  <w:style w:type="paragraph" w:customStyle="1" w:styleId="OLIndent2">
    <w:name w:val="OL_Indent2"/>
    <w:basedOn w:val="OLNormal"/>
    <w:qFormat/>
    <w:rsid w:val="00E7657B"/>
    <w:pPr>
      <w:ind w:left="1418"/>
    </w:pPr>
  </w:style>
  <w:style w:type="paragraph" w:customStyle="1" w:styleId="OLIndent3">
    <w:name w:val="OL_Indent3"/>
    <w:basedOn w:val="OLNormal"/>
    <w:qFormat/>
    <w:rsid w:val="00E7657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E7657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E7657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E7657B"/>
    <w:pPr>
      <w:keepNext/>
    </w:pPr>
    <w:rPr>
      <w:b/>
    </w:rPr>
  </w:style>
  <w:style w:type="paragraph" w:customStyle="1" w:styleId="OLQuote">
    <w:name w:val="OL_Quote"/>
    <w:basedOn w:val="OLNormal"/>
    <w:qFormat/>
    <w:rsid w:val="00E7657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E7657B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E7657B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E7657B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E7657B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E7657B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E7657B"/>
    <w:pPr>
      <w:numPr>
        <w:numId w:val="7"/>
      </w:numPr>
    </w:pPr>
  </w:style>
  <w:style w:type="paragraph" w:customStyle="1" w:styleId="OLBullet5">
    <w:name w:val="OL_Bullet5"/>
    <w:basedOn w:val="OLNormal"/>
    <w:rsid w:val="00E7657B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E7657B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E7657B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E7657B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E7657B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E7657B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E7657B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54607A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E7657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E7657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E7657B"/>
    <w:pPr>
      <w:spacing w:after="120"/>
      <w:jc w:val="left"/>
    </w:pPr>
  </w:style>
  <w:style w:type="paragraph" w:customStyle="1" w:styleId="OLHeadingLine">
    <w:name w:val="OL_HeadingLine"/>
    <w:basedOn w:val="Normal"/>
    <w:rsid w:val="00E7657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E7657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E7657B"/>
    <w:rPr>
      <w:smallCaps/>
    </w:rPr>
  </w:style>
  <w:style w:type="paragraph" w:customStyle="1" w:styleId="OLNormal0">
    <w:name w:val="OL_Normal0"/>
    <w:basedOn w:val="OLNormal"/>
    <w:rsid w:val="00E7657B"/>
    <w:pPr>
      <w:spacing w:after="0"/>
    </w:pPr>
  </w:style>
  <w:style w:type="paragraph" w:customStyle="1" w:styleId="OLSubHeadingC">
    <w:name w:val="OL_SubHeading_C"/>
    <w:basedOn w:val="OLSubHeading"/>
    <w:rsid w:val="00E7657B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274C5D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2023-07-20T04:46:00Z</dcterms:created>
  <dcterms:modified xsi:type="dcterms:W3CDTF">2023-12-07T04:32:00Z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